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E347" w14:textId="75EDBC80" w:rsidR="00EF6A53" w:rsidRPr="00BC1A47" w:rsidRDefault="00BC1A47" w:rsidP="00BC1A47">
      <w:pPr>
        <w:jc w:val="center"/>
        <w:rPr>
          <w:lang w:val="es-DO"/>
        </w:rPr>
      </w:pPr>
      <w:r>
        <w:rPr>
          <w:lang w:val="es-DO"/>
        </w:rPr>
        <w:t>Diciembre- No hay procesos de consultas abiertas en diciembre 2023</w:t>
      </w:r>
    </w:p>
    <w:sectPr w:rsidR="00EF6A53" w:rsidRPr="00BC1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19"/>
    <w:rsid w:val="00023F7F"/>
    <w:rsid w:val="00507F19"/>
    <w:rsid w:val="00652BDE"/>
    <w:rsid w:val="00BC1A47"/>
    <w:rsid w:val="00E75EAD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D727"/>
  <w15:chartTrackingRefBased/>
  <w15:docId w15:val="{D904AB87-756B-481B-AC23-1FCB6DD6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2024-01-04T17:58:00Z</dcterms:created>
  <dcterms:modified xsi:type="dcterms:W3CDTF">2024-01-04T17:58:00Z</dcterms:modified>
</cp:coreProperties>
</file>